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F0" w:rsidRDefault="000D7DF0" w:rsidP="000D7DF0">
      <w:pPr>
        <w:jc w:val="center"/>
      </w:pPr>
      <w:bookmarkStart w:id="0" w:name="_GoBack"/>
      <w:bookmarkEnd w:id="0"/>
      <w:r>
        <w:t>Graphs from data used for the Report: Neighborhoods &amp; Community Development in Franklin County, January 2012</w:t>
      </w:r>
    </w:p>
    <w:p w:rsidR="000D7DF0" w:rsidRDefault="000D7DF0" w:rsidP="000D7DF0">
      <w:pPr>
        <w:jc w:val="center"/>
      </w:pPr>
      <w:r>
        <w:t>Written by the Kirwan Institute for the Study of Race and Ethnicity, Moritz College of Law at OSU</w:t>
      </w:r>
    </w:p>
    <w:p w:rsidR="000D7DF0" w:rsidRDefault="00731F6F" w:rsidP="000D7DF0">
      <w:pPr>
        <w:jc w:val="center"/>
      </w:pPr>
      <w:r>
        <w:t>One of nine sections that make up the Near East Columbus area and one of three sections known as “Driving Park”</w:t>
      </w:r>
    </w:p>
    <w:p w:rsidR="00731F6F" w:rsidRDefault="00731F6F" w:rsidP="000D7DF0">
      <w:pPr>
        <w:jc w:val="center"/>
      </w:pPr>
      <w:r>
        <w:t>Main Street is the northern boundary and I-70 is the southern boundary</w:t>
      </w:r>
    </w:p>
    <w:p w:rsidR="000D7DF0" w:rsidRDefault="000D7DF0" w:rsidP="000D7DF0">
      <w:pPr>
        <w:jc w:val="center"/>
      </w:pPr>
    </w:p>
    <w:p w:rsidR="004903F5" w:rsidRDefault="000D7DF0" w:rsidP="000D7DF0">
      <w:pPr>
        <w:jc w:val="center"/>
      </w:pPr>
      <w:r>
        <w:rPr>
          <w:noProof/>
        </w:rPr>
        <w:drawing>
          <wp:inline distT="0" distB="0" distL="0" distR="0" wp14:anchorId="595A3035" wp14:editId="341E8C71">
            <wp:extent cx="5810250" cy="4010019"/>
            <wp:effectExtent l="0" t="0" r="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7DF0" w:rsidRDefault="000D7DF0">
      <w:r>
        <w:br w:type="page"/>
      </w: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  <w:r>
        <w:rPr>
          <w:noProof/>
        </w:rPr>
        <w:drawing>
          <wp:inline distT="0" distB="0" distL="0" distR="0" wp14:anchorId="34788F84" wp14:editId="595E6B88">
            <wp:extent cx="5819776" cy="3971926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7DF0" w:rsidRDefault="000D7DF0" w:rsidP="000D7DF0">
      <w:pPr>
        <w:jc w:val="center"/>
      </w:pPr>
    </w:p>
    <w:p w:rsidR="000D7DF0" w:rsidRDefault="000D7DF0">
      <w:r>
        <w:br w:type="page"/>
      </w: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  <w:r>
        <w:rPr>
          <w:noProof/>
        </w:rPr>
        <w:drawing>
          <wp:inline distT="0" distB="0" distL="0" distR="0" wp14:anchorId="52DD5920" wp14:editId="1E6751AA">
            <wp:extent cx="5848351" cy="40671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7DF0" w:rsidRDefault="000D7DF0" w:rsidP="000D7DF0">
      <w:pPr>
        <w:jc w:val="center"/>
      </w:pPr>
    </w:p>
    <w:p w:rsidR="000D7DF0" w:rsidRDefault="000D7DF0">
      <w:r>
        <w:br w:type="page"/>
      </w: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</w:p>
    <w:p w:rsidR="000D7DF0" w:rsidRDefault="000D7DF0" w:rsidP="000D7DF0">
      <w:pPr>
        <w:jc w:val="center"/>
      </w:pPr>
      <w:r>
        <w:rPr>
          <w:noProof/>
        </w:rPr>
        <w:drawing>
          <wp:inline distT="0" distB="0" distL="0" distR="0" wp14:anchorId="02A2E285" wp14:editId="0518DE04">
            <wp:extent cx="5781675" cy="39243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D7DF0" w:rsidSect="000D7D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0"/>
    <w:rsid w:val="000D7DF0"/>
    <w:rsid w:val="004903F5"/>
    <w:rsid w:val="00731F6F"/>
    <w:rsid w:val="009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A5D85-4E3A-45E0-8B2D-1B687BF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ches.OHIO\Desktop\Copy%20of%20Kirwan-%20Driving%20Park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ches.OHIO\Desktop\Copy%20of%20Kirwan-%20Driving%20Park%20char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ches.OHIO\Desktop\Copy%20of%20Kirwan-%20Driving%20Park%20char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ches.OHIO\Desktop\Copy%20of%20Kirwan-%20Driving%20Park%20char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Neighborhood Population and Poverty Rate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Adjusted!$A$2</c:f>
              <c:strCache>
                <c:ptCount val="1"/>
                <c:pt idx="0">
                  <c:v>Total Population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Adjusted!$B$1:$F$1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Adjusted!$B$2:$F$2</c:f>
              <c:numCache>
                <c:formatCode>_(* #,##0_);_(* \(#,##0\);_(* "-"??_);_(@_)</c:formatCode>
                <c:ptCount val="5"/>
                <c:pt idx="0">
                  <c:v>3777</c:v>
                </c:pt>
                <c:pt idx="1">
                  <c:v>2794</c:v>
                </c:pt>
                <c:pt idx="2">
                  <c:v>2223</c:v>
                </c:pt>
                <c:pt idx="3">
                  <c:v>1935</c:v>
                </c:pt>
                <c:pt idx="4">
                  <c:v>1411</c:v>
                </c:pt>
              </c:numCache>
            </c:numRef>
          </c:val>
        </c:ser>
        <c:ser>
          <c:idx val="1"/>
          <c:order val="1"/>
          <c:tx>
            <c:strRef>
              <c:f>Adjusted!$A$3</c:f>
              <c:strCache>
                <c:ptCount val="1"/>
                <c:pt idx="0">
                  <c:v>Below Poverty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Adjusted!$B$1:$F$1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Adjusted!$B$3:$F$3</c:f>
              <c:numCache>
                <c:formatCode>General</c:formatCode>
                <c:ptCount val="5"/>
                <c:pt idx="0">
                  <c:v>1096</c:v>
                </c:pt>
                <c:pt idx="1">
                  <c:v>992</c:v>
                </c:pt>
                <c:pt idx="2">
                  <c:v>840</c:v>
                </c:pt>
                <c:pt idx="3">
                  <c:v>576</c:v>
                </c:pt>
                <c:pt idx="4">
                  <c:v>777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50880"/>
        <c:axId val="212351272"/>
      </c:barChart>
      <c:lineChart>
        <c:grouping val="standard"/>
        <c:varyColors val="0"/>
        <c:ser>
          <c:idx val="2"/>
          <c:order val="2"/>
          <c:tx>
            <c:strRef>
              <c:f>Adjusted!$A$4</c:f>
              <c:strCache>
                <c:ptCount val="1"/>
                <c:pt idx="0">
                  <c:v>Poverty Rate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Adjusted!$B$1:$F$1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Adjusted!$B$4:$F$4</c:f>
              <c:numCache>
                <c:formatCode>0%</c:formatCode>
                <c:ptCount val="5"/>
                <c:pt idx="0">
                  <c:v>0.29017738946253641</c:v>
                </c:pt>
                <c:pt idx="1">
                  <c:v>0.35504652827487471</c:v>
                </c:pt>
                <c:pt idx="2">
                  <c:v>0.37786774628879893</c:v>
                </c:pt>
                <c:pt idx="3">
                  <c:v>0.29767441860465116</c:v>
                </c:pt>
                <c:pt idx="4">
                  <c:v>0.55067328136073712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50096"/>
        <c:axId val="212374792"/>
      </c:lineChart>
      <c:catAx>
        <c:axId val="2123508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51272"/>
        <c:crosses val="autoZero"/>
        <c:auto val="1"/>
        <c:lblAlgn val="ctr"/>
        <c:lblOffset val="100"/>
        <c:noMultiLvlLbl val="0"/>
      </c:catAx>
      <c:valAx>
        <c:axId val="21235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50880"/>
        <c:crosses val="autoZero"/>
        <c:crossBetween val="between"/>
      </c:valAx>
      <c:valAx>
        <c:axId val="212374792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50096"/>
        <c:crosses val="max"/>
        <c:crossBetween val="between"/>
      </c:valAx>
      <c:catAx>
        <c:axId val="212350096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1237479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Neighborhood Housing Vacancy Rate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Adjusted!$A$60</c:f>
              <c:strCache>
                <c:ptCount val="1"/>
                <c:pt idx="0">
                  <c:v>Total Housing Units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Adjusted!$B$59:$F$59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Adjusted!$B$60:$F$60</c:f>
              <c:numCache>
                <c:formatCode>_(* #,##0_);_(* \(#,##0\);_(* "-"??_);_(@_)</c:formatCode>
                <c:ptCount val="5"/>
                <c:pt idx="0">
                  <c:v>1207</c:v>
                </c:pt>
                <c:pt idx="1">
                  <c:v>1066</c:v>
                </c:pt>
                <c:pt idx="2">
                  <c:v>982</c:v>
                </c:pt>
                <c:pt idx="3">
                  <c:v>925</c:v>
                </c:pt>
                <c:pt idx="4">
                  <c:v>934</c:v>
                </c:pt>
              </c:numCache>
            </c:numRef>
          </c:val>
        </c:ser>
        <c:ser>
          <c:idx val="1"/>
          <c:order val="1"/>
          <c:tx>
            <c:strRef>
              <c:f>Adjusted!$A$61</c:f>
              <c:strCache>
                <c:ptCount val="1"/>
                <c:pt idx="0">
                  <c:v>Vacant Housing Units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Adjusted!$B$59:$F$59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Adjusted!$B$61:$F$61</c:f>
              <c:numCache>
                <c:formatCode>General</c:formatCode>
                <c:ptCount val="5"/>
                <c:pt idx="0">
                  <c:v>96</c:v>
                </c:pt>
                <c:pt idx="1">
                  <c:v>187</c:v>
                </c:pt>
                <c:pt idx="2">
                  <c:v>209</c:v>
                </c:pt>
                <c:pt idx="3">
                  <c:v>219</c:v>
                </c:pt>
                <c:pt idx="4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76752"/>
        <c:axId val="212379104"/>
      </c:barChart>
      <c:lineChart>
        <c:grouping val="standard"/>
        <c:varyColors val="0"/>
        <c:ser>
          <c:idx val="2"/>
          <c:order val="2"/>
          <c:tx>
            <c:strRef>
              <c:f>Adjusted!$A$62</c:f>
              <c:strCache>
                <c:ptCount val="1"/>
                <c:pt idx="0">
                  <c:v>% Vacant Housing Units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Adjusted!$B$59:$F$59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Adjusted!$B$62:$F$62</c:f>
              <c:numCache>
                <c:formatCode>0%</c:formatCode>
                <c:ptCount val="5"/>
                <c:pt idx="0">
                  <c:v>7.9536039768019887E-2</c:v>
                </c:pt>
                <c:pt idx="1">
                  <c:v>0.17542213883677299</c:v>
                </c:pt>
                <c:pt idx="2">
                  <c:v>0.21283095723014256</c:v>
                </c:pt>
                <c:pt idx="3">
                  <c:v>0.23675675675675675</c:v>
                </c:pt>
                <c:pt idx="4">
                  <c:v>0.41541755888650966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78712"/>
        <c:axId val="212349312"/>
      </c:lineChart>
      <c:catAx>
        <c:axId val="21237675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79104"/>
        <c:crosses val="autoZero"/>
        <c:auto val="1"/>
        <c:lblAlgn val="ctr"/>
        <c:lblOffset val="100"/>
        <c:noMultiLvlLbl val="0"/>
      </c:catAx>
      <c:valAx>
        <c:axId val="21237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76752"/>
        <c:crosses val="autoZero"/>
        <c:crossBetween val="between"/>
      </c:valAx>
      <c:valAx>
        <c:axId val="212349312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78712"/>
        <c:crosses val="max"/>
        <c:crossBetween val="between"/>
      </c:valAx>
      <c:catAx>
        <c:axId val="21237871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1234931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Neighborhood Residents with a High School Diploma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Adjusted!$A$66</c:f>
              <c:strCache>
                <c:ptCount val="1"/>
                <c:pt idx="0">
                  <c:v>Total Adult Population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Adjusted!$B$65:$F$65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Adjusted!$B$66:$F$66</c:f>
              <c:numCache>
                <c:formatCode>_(* #,##0_);_(* \(#,##0\);_(* "-"??_);_(@_)</c:formatCode>
                <c:ptCount val="5"/>
                <c:pt idx="0">
                  <c:v>1757.8947368421052</c:v>
                </c:pt>
                <c:pt idx="1">
                  <c:v>1387.7551020408164</c:v>
                </c:pt>
                <c:pt idx="2">
                  <c:v>1294.9152542372883</c:v>
                </c:pt>
                <c:pt idx="3">
                  <c:v>1098.4126984126983</c:v>
                </c:pt>
                <c:pt idx="4">
                  <c:v>748.4848484848485</c:v>
                </c:pt>
              </c:numCache>
            </c:numRef>
          </c:val>
        </c:ser>
        <c:ser>
          <c:idx val="1"/>
          <c:order val="1"/>
          <c:tx>
            <c:strRef>
              <c:f>Adjusted!$A$67</c:f>
              <c:strCache>
                <c:ptCount val="1"/>
                <c:pt idx="0">
                  <c:v>Population w/High School Diploma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Adjusted!$B$65:$F$65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Adjusted!$B$67:$F$67</c:f>
              <c:numCache>
                <c:formatCode>General</c:formatCode>
                <c:ptCount val="5"/>
                <c:pt idx="0">
                  <c:v>668</c:v>
                </c:pt>
                <c:pt idx="1">
                  <c:v>680</c:v>
                </c:pt>
                <c:pt idx="2">
                  <c:v>764</c:v>
                </c:pt>
                <c:pt idx="3">
                  <c:v>692</c:v>
                </c:pt>
                <c:pt idx="4">
                  <c:v>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75184"/>
        <c:axId val="212376360"/>
      </c:barChart>
      <c:lineChart>
        <c:grouping val="standard"/>
        <c:varyColors val="0"/>
        <c:ser>
          <c:idx val="2"/>
          <c:order val="2"/>
          <c:tx>
            <c:strRef>
              <c:f>Adjusted!$A$68</c:f>
              <c:strCache>
                <c:ptCount val="1"/>
                <c:pt idx="0">
                  <c:v>% Population W/High School Diploma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Adjusted!$B$65:$F$65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Adjusted!$B$68:$F$68</c:f>
              <c:numCache>
                <c:formatCode>0%</c:formatCode>
                <c:ptCount val="5"/>
                <c:pt idx="0">
                  <c:v>0.38</c:v>
                </c:pt>
                <c:pt idx="1">
                  <c:v>0.49</c:v>
                </c:pt>
                <c:pt idx="2">
                  <c:v>0.59</c:v>
                </c:pt>
                <c:pt idx="3">
                  <c:v>0.63</c:v>
                </c:pt>
                <c:pt idx="4">
                  <c:v>0.66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52840"/>
        <c:axId val="212352448"/>
      </c:lineChart>
      <c:catAx>
        <c:axId val="21237518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76360"/>
        <c:crosses val="autoZero"/>
        <c:auto val="1"/>
        <c:lblAlgn val="ctr"/>
        <c:lblOffset val="100"/>
        <c:noMultiLvlLbl val="0"/>
      </c:catAx>
      <c:valAx>
        <c:axId val="212376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75184"/>
        <c:crosses val="autoZero"/>
        <c:crossBetween val="between"/>
      </c:valAx>
      <c:valAx>
        <c:axId val="212352448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52840"/>
        <c:crosses val="max"/>
        <c:crossBetween val="between"/>
      </c:valAx>
      <c:catAx>
        <c:axId val="21235284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1235244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Unemployment Rate within Neighborhood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Adjusted!$A$72</c:f>
              <c:strCache>
                <c:ptCount val="1"/>
                <c:pt idx="0">
                  <c:v>Total Adult Population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Adjusted!$B$71:$F$71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Adjusted!$B$72:$F$72</c:f>
              <c:numCache>
                <c:formatCode>_(* #,##0_);_(* \(#,##0\);_(* "-"??_);_(@_)</c:formatCode>
                <c:ptCount val="5"/>
                <c:pt idx="0">
                  <c:v>1757.8947368421052</c:v>
                </c:pt>
                <c:pt idx="1">
                  <c:v>1387.7551020408164</c:v>
                </c:pt>
                <c:pt idx="2">
                  <c:v>1294.9152542372883</c:v>
                </c:pt>
                <c:pt idx="3">
                  <c:v>1098.4126984126983</c:v>
                </c:pt>
                <c:pt idx="4">
                  <c:v>748.4848484848485</c:v>
                </c:pt>
              </c:numCache>
            </c:numRef>
          </c:val>
        </c:ser>
        <c:ser>
          <c:idx val="1"/>
          <c:order val="1"/>
          <c:tx>
            <c:strRef>
              <c:f>Adjusted!$A$73</c:f>
              <c:strCache>
                <c:ptCount val="1"/>
                <c:pt idx="0">
                  <c:v>Unemployed Persons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Adjusted!$B$71:$F$71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Adjusted!$B$73:$F$73</c:f>
              <c:numCache>
                <c:formatCode>General</c:formatCode>
                <c:ptCount val="5"/>
                <c:pt idx="0">
                  <c:v>157</c:v>
                </c:pt>
                <c:pt idx="1">
                  <c:v>151</c:v>
                </c:pt>
                <c:pt idx="2">
                  <c:v>162</c:v>
                </c:pt>
                <c:pt idx="3">
                  <c:v>101</c:v>
                </c:pt>
                <c:pt idx="4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50488"/>
        <c:axId val="212353624"/>
      </c:barChart>
      <c:lineChart>
        <c:grouping val="standard"/>
        <c:varyColors val="0"/>
        <c:ser>
          <c:idx val="2"/>
          <c:order val="2"/>
          <c:tx>
            <c:strRef>
              <c:f>Adjusted!$A$74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Adjusted!$B$71:$F$71</c:f>
              <c:numCache>
                <c:formatCode>General</c:formatCode>
                <c:ptCount val="5"/>
                <c:pt idx="0" formatCode="0">
                  <c:v>1970</c:v>
                </c:pt>
                <c:pt idx="1">
                  <c:v>1980</c:v>
                </c:pt>
                <c:pt idx="2">
                  <c:v>1990</c:v>
                </c:pt>
                <c:pt idx="3">
                  <c:v>2000</c:v>
                </c:pt>
                <c:pt idx="4">
                  <c:v>2010</c:v>
                </c:pt>
              </c:numCache>
            </c:numRef>
          </c:cat>
          <c:val>
            <c:numRef>
              <c:f>Adjusted!$B$74:$F$74</c:f>
              <c:numCache>
                <c:formatCode>0%</c:formatCode>
                <c:ptCount val="5"/>
                <c:pt idx="0">
                  <c:v>8.9311377245508985E-2</c:v>
                </c:pt>
                <c:pt idx="1">
                  <c:v>0.10880882352941176</c:v>
                </c:pt>
                <c:pt idx="2">
                  <c:v>0.12510471204188481</c:v>
                </c:pt>
                <c:pt idx="3">
                  <c:v>9.1950867052023127E-2</c:v>
                </c:pt>
                <c:pt idx="4">
                  <c:v>0.24983805668016193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54408"/>
        <c:axId val="212354016"/>
      </c:lineChart>
      <c:catAx>
        <c:axId val="21235048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53624"/>
        <c:crosses val="autoZero"/>
        <c:auto val="1"/>
        <c:lblAlgn val="ctr"/>
        <c:lblOffset val="100"/>
        <c:noMultiLvlLbl val="0"/>
      </c:catAx>
      <c:valAx>
        <c:axId val="212353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50488"/>
        <c:crosses val="autoZero"/>
        <c:crossBetween val="between"/>
      </c:valAx>
      <c:valAx>
        <c:axId val="212354016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54408"/>
        <c:crosses val="max"/>
        <c:crossBetween val="between"/>
      </c:valAx>
      <c:catAx>
        <c:axId val="212354408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1235401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Oches, Barry</dc:creator>
  <cp:keywords/>
  <dc:description/>
  <cp:lastModifiedBy>Michael Howard</cp:lastModifiedBy>
  <cp:revision>2</cp:revision>
  <dcterms:created xsi:type="dcterms:W3CDTF">2014-07-07T18:42:00Z</dcterms:created>
  <dcterms:modified xsi:type="dcterms:W3CDTF">2014-07-07T18:42:00Z</dcterms:modified>
</cp:coreProperties>
</file>